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69E6" w14:textId="77777777" w:rsidR="00DB1E11" w:rsidRDefault="00000000">
      <w:pPr>
        <w:pStyle w:val="Standard"/>
        <w:jc w:val="both"/>
        <w:rPr>
          <w:rFonts w:asciiTheme="majorHAnsi" w:hAnsiTheme="majorHAnsi" w:cstheme="majorHAnsi"/>
          <w:b/>
          <w:bCs/>
          <w:color w:val="C9211E"/>
          <w:lang w:val="ro-RO"/>
        </w:rPr>
      </w:pPr>
      <w:r>
        <w:rPr>
          <w:rFonts w:asciiTheme="majorHAnsi" w:hAnsiTheme="majorHAnsi" w:cstheme="majorHAnsi"/>
          <w:b/>
          <w:bCs/>
          <w:color w:val="C9211E"/>
          <w:lang w:val="ro-RO"/>
        </w:rPr>
        <w:t>Informații generale</w:t>
      </w:r>
    </w:p>
    <w:p w14:paraId="1F5A67E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Articolul livrat este un produs nestandardizat, fabricat la comandă individuală, în conformitate cu specificațiile furnizate de cumpărător. Vânzătorul nu furnizează documentația tehnică pentru construcția fabricată.</w:t>
      </w:r>
    </w:p>
    <w:p w14:paraId="6A520B52" w14:textId="77777777" w:rsidR="00DB1E11" w:rsidRPr="004A5347" w:rsidRDefault="00000000">
      <w:pPr>
        <w:pStyle w:val="Standard"/>
        <w:jc w:val="both"/>
        <w:rPr>
          <w:rFonts w:asciiTheme="majorHAnsi" w:hAnsiTheme="majorHAnsi" w:cstheme="majorHAnsi"/>
          <w:lang w:val="ro-RO"/>
        </w:rPr>
      </w:pPr>
      <w:r w:rsidRPr="004A5347">
        <w:rPr>
          <w:rFonts w:asciiTheme="majorHAnsi" w:hAnsiTheme="majorHAnsi" w:cstheme="majorHAnsi"/>
          <w:shd w:val="clear" w:color="auto" w:fill="FFFF00"/>
          <w:lang w:val="ro-RO"/>
        </w:rPr>
        <w:t>Vânzătorul nu este răspunzător pentru lipsa notificării lucrărilor de construcție și a eliberării unei autorizații de CONSTRUCȚIE</w:t>
      </w:r>
    </w:p>
    <w:p w14:paraId="68893E46" w14:textId="77777777" w:rsidR="00DB1E11" w:rsidRDefault="00000000">
      <w:pPr>
        <w:pStyle w:val="Standard"/>
        <w:jc w:val="both"/>
        <w:rPr>
          <w:rFonts w:hint="eastAsia"/>
          <w:lang w:val="ro-RO"/>
        </w:rPr>
      </w:pPr>
      <w:r>
        <w:rPr>
          <w:rStyle w:val="hgkelc"/>
          <w:rFonts w:asciiTheme="majorHAnsi" w:hAnsiTheme="majorHAnsi" w:cstheme="majorHAnsi"/>
          <w:lang w:val="ro-RO"/>
        </w:rPr>
        <w:t xml:space="preserve">Garajul de tablă </w:t>
      </w:r>
      <w:r>
        <w:rPr>
          <w:rStyle w:val="hgkelc"/>
          <w:rFonts w:asciiTheme="majorHAnsi" w:hAnsiTheme="majorHAnsi" w:cstheme="majorHAnsi"/>
          <w:b/>
          <w:bCs/>
          <w:lang w:val="ro-RO"/>
        </w:rPr>
        <w:t>are o structură portantă realizată din profile închise și unghiuri profilate la rece conectate între ele</w:t>
      </w:r>
      <w:r>
        <w:rPr>
          <w:rStyle w:val="hgkelc"/>
          <w:rFonts w:asciiTheme="majorHAnsi" w:hAnsiTheme="majorHAnsi" w:cstheme="majorHAnsi"/>
          <w:lang w:val="ro-RO"/>
        </w:rPr>
        <w:t>.</w:t>
      </w:r>
      <w:r>
        <w:rPr>
          <w:rFonts w:asciiTheme="majorHAnsi" w:hAnsiTheme="majorHAnsi" w:cstheme="majorHAnsi"/>
          <w:lang w:val="ro-RO"/>
        </w:rPr>
        <w:t xml:space="preserve"> Garnitura pereților garajului este realizată din </w:t>
      </w:r>
      <w:r>
        <w:rPr>
          <w:rFonts w:asciiTheme="majorHAnsi" w:hAnsiTheme="majorHAnsi" w:cstheme="majorHAnsi"/>
          <w:b/>
          <w:bCs/>
          <w:u w:val="single"/>
          <w:lang w:val="ro-RO"/>
        </w:rPr>
        <w:t>foi de oțel trapezoidale</w:t>
      </w:r>
      <w:r>
        <w:rPr>
          <w:rFonts w:asciiTheme="majorHAnsi" w:hAnsiTheme="majorHAnsi" w:cstheme="majorHAnsi"/>
          <w:lang w:val="ro-RO"/>
        </w:rPr>
        <w:t xml:space="preserve"> Structura este înșurubată și înșurubată, permițând pătrunderea în cealaltă parte a garajului (aproximativ 1 cm), acest lucru nu constituie un defect structural.</w:t>
      </w:r>
    </w:p>
    <w:p w14:paraId="7426FC70"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Garanția acoperă acoperiri pe suprafețe care sunt importante pentru aspectul și capacitatea de utilizare a produsului. Sunt excluse suprafețe majore: marginile, adânciturile majore și suprafețele secundare, punctele de suspensie, zonele neacoperite, marginile găurilor și tăieturile tehnologice.</w:t>
      </w:r>
    </w:p>
    <w:p w14:paraId="16AF3BF1"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Se admit diferențe de nuanțe de culoare între produsele trimise pentru producție în diferite loturi de producție și părți de produse realizate cu ajutorul unor tehnologii de producție diferite.</w:t>
      </w:r>
    </w:p>
    <w:p w14:paraId="5B9B4BB7" w14:textId="77777777" w:rsidR="00DB1E11" w:rsidRDefault="00000000">
      <w:pPr>
        <w:pStyle w:val="Standard"/>
        <w:jc w:val="both"/>
        <w:rPr>
          <w:rFonts w:asciiTheme="majorHAnsi" w:hAnsiTheme="majorHAnsi" w:cstheme="majorHAnsi"/>
          <w:b/>
          <w:bCs/>
          <w:color w:val="C9211E"/>
          <w:lang w:val="ro-RO"/>
        </w:rPr>
      </w:pPr>
      <w:r>
        <w:rPr>
          <w:rFonts w:asciiTheme="majorHAnsi" w:hAnsiTheme="majorHAnsi" w:cstheme="majorHAnsi"/>
          <w:b/>
          <w:bCs/>
          <w:color w:val="C9211E"/>
          <w:lang w:val="ro-RO"/>
        </w:rPr>
        <w:t xml:space="preserve">Substraturi </w:t>
      </w:r>
    </w:p>
    <w:p w14:paraId="6FB48A0A" w14:textId="7E38CDDA" w:rsidR="00DB1E11" w:rsidRPr="004A5347" w:rsidRDefault="00000000">
      <w:pPr>
        <w:pStyle w:val="Standard"/>
        <w:shd w:val="clear" w:color="auto" w:fill="FFFFFF" w:themeFill="background1"/>
        <w:jc w:val="both"/>
        <w:rPr>
          <w:rFonts w:asciiTheme="majorHAnsi" w:hAnsiTheme="majorHAnsi" w:cstheme="majorHAnsi"/>
          <w:lang w:val="ro-RO"/>
        </w:rPr>
      </w:pPr>
      <w:r w:rsidRPr="004A5347">
        <w:rPr>
          <w:rFonts w:asciiTheme="majorHAnsi" w:hAnsiTheme="majorHAnsi" w:cstheme="majorHAnsi"/>
          <w:shd w:val="clear" w:color="auto" w:fill="FFFF00"/>
          <w:lang w:val="ro-RO"/>
        </w:rPr>
        <w:t>Cumpărătorul trebuie să pregătească substratul pe suprafața pe care va fi așezată structura metalică în conformitate cu instrucțiunile de pe www.</w:t>
      </w:r>
      <w:r w:rsidR="004A5347" w:rsidRPr="004A5347">
        <w:rPr>
          <w:rFonts w:asciiTheme="majorHAnsi" w:hAnsiTheme="majorHAnsi" w:cstheme="majorHAnsi"/>
          <w:shd w:val="clear" w:color="auto" w:fill="FFFF00"/>
          <w:lang w:val="ro-RO"/>
        </w:rPr>
        <w:t>garajemetalice.ro</w:t>
      </w:r>
      <w:r w:rsidRPr="004A5347">
        <w:rPr>
          <w:rFonts w:asciiTheme="majorHAnsi" w:hAnsiTheme="majorHAnsi" w:cstheme="majorHAnsi"/>
          <w:shd w:val="clear" w:color="auto" w:fill="FFFF00"/>
          <w:lang w:val="ro-RO"/>
        </w:rPr>
        <w:t>, este necesar să îl pregătească înainte de data livrării. Dacă substratul nu este pregătit corespunzător, echipa de montaj nu va începe și următoarea dată de montaj va fi reprogramată pe cheltuiala cumpărătorului la un preț de 20% din produs.</w:t>
      </w:r>
    </w:p>
    <w:p w14:paraId="7C20844F" w14:textId="77777777" w:rsidR="00DB1E11" w:rsidRDefault="00000000">
      <w:pPr>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Cumpărătorul trebuie să ancoreze structura la substrat și să betoneze pragul imediat după instalare</w:t>
      </w:r>
    </w:p>
    <w:p w14:paraId="0680D372" w14:textId="77777777" w:rsidR="00DB1E11" w:rsidRDefault="00DB1E11">
      <w:pPr>
        <w:pStyle w:val="Standard"/>
        <w:jc w:val="both"/>
        <w:rPr>
          <w:rFonts w:asciiTheme="majorHAnsi" w:hAnsiTheme="majorHAnsi" w:cstheme="majorHAnsi"/>
          <w:lang w:val="ro-RO"/>
        </w:rPr>
      </w:pPr>
    </w:p>
    <w:p w14:paraId="173C82ED"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xml:space="preserve">ATENȚIE instalarea panourilor fotovoltaice necesită o armătură suplimentară informați furnizorul. </w:t>
      </w:r>
    </w:p>
    <w:p w14:paraId="07776EA8" w14:textId="77777777" w:rsidR="00DB1E11" w:rsidRDefault="00DB1E11">
      <w:pPr>
        <w:pStyle w:val="Standard"/>
        <w:jc w:val="both"/>
        <w:rPr>
          <w:rFonts w:asciiTheme="majorHAnsi" w:hAnsiTheme="majorHAnsi" w:cstheme="majorHAnsi"/>
          <w:lang w:val="ro-RO"/>
        </w:rPr>
      </w:pPr>
    </w:p>
    <w:p w14:paraId="0BDCCB1F" w14:textId="77777777" w:rsidR="00DB1E11" w:rsidRDefault="00000000">
      <w:pPr>
        <w:pStyle w:val="Standard"/>
        <w:jc w:val="both"/>
        <w:rPr>
          <w:rFonts w:asciiTheme="majorHAnsi" w:hAnsiTheme="majorHAnsi" w:cstheme="majorHAnsi"/>
          <w:b/>
          <w:bCs/>
          <w:color w:val="C9211E"/>
          <w:lang w:val="ro-RO"/>
        </w:rPr>
      </w:pPr>
      <w:r>
        <w:rPr>
          <w:rFonts w:asciiTheme="majorHAnsi" w:hAnsiTheme="majorHAnsi" w:cstheme="majorHAnsi"/>
          <w:b/>
          <w:bCs/>
          <w:color w:val="C9211E"/>
          <w:lang w:val="ro-RO"/>
        </w:rPr>
        <w:t>Garanție</w:t>
      </w:r>
    </w:p>
    <w:p w14:paraId="30691E8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Examinarea cauzei defectului și a modului în care va fi tratată reclamația este efectuată de un reprezentant al vânzătorului sau al garantului.</w:t>
      </w:r>
    </w:p>
    <w:p w14:paraId="4BC61390"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Condiția prealabilă pentru luarea în considerare a unei reclamații privind un defect de calitate aparent este ca aceasta să fie raportată înainte de instalare, cu retragerea simultană din activitățile de instalare.</w:t>
      </w:r>
    </w:p>
    <w:p w14:paraId="08E95D53"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Nu există nicio întârziere în tratarea unei reclamații în cazul în care inspecția, înlocuirea sau repararea nu a fost efectuată din motive imputabile cumpărătorului, de exemplu, neacceptarea datei de vizită.</w:t>
      </w:r>
    </w:p>
    <w:p w14:paraId="7BADDCBD"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Dispoziția de mai sus nu exclude posibilitatea de a conveni altfel, de exemplu, luarea de măsuri pentru o reducere a prețului.</w:t>
      </w:r>
    </w:p>
    <w:p w14:paraId="57FA4993" w14:textId="77777777" w:rsidR="00DB1E11" w:rsidRDefault="00DB1E11">
      <w:pPr>
        <w:pStyle w:val="Standard"/>
        <w:jc w:val="both"/>
        <w:rPr>
          <w:rFonts w:asciiTheme="majorHAnsi" w:hAnsiTheme="majorHAnsi" w:cstheme="majorHAnsi"/>
          <w:lang w:val="ro-RO"/>
        </w:rPr>
      </w:pPr>
    </w:p>
    <w:p w14:paraId="37E5839D"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Garanția nu acoperă:</w:t>
      </w:r>
    </w:p>
    <w:p w14:paraId="7AF6F77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activități care vor fi efectuate de către client însuși, ancorarea, fixarea pragului, vopsirea structurii, îndepărtarea foliei.</w:t>
      </w:r>
    </w:p>
    <w:p w14:paraId="6F81BEB1"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deteriorări mecanice deformări, lovituri și zgârieturi minore apărute în timpul transportului</w:t>
      </w:r>
    </w:p>
    <w:p w14:paraId="5F7D7A5E"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xml:space="preserve">care nu depășesc </w:t>
      </w:r>
      <w:r>
        <w:rPr>
          <w:rFonts w:asciiTheme="majorHAnsi" w:hAnsiTheme="majorHAnsi" w:cstheme="majorHAnsi"/>
          <w:color w:val="FF0000"/>
          <w:lang w:val="ro-RO"/>
        </w:rPr>
        <w:t>0,25% din suprafață</w:t>
      </w:r>
      <w:r>
        <w:rPr>
          <w:rFonts w:asciiTheme="majorHAnsi" w:hAnsiTheme="majorHAnsi" w:cstheme="majorHAnsi"/>
          <w:lang w:val="ro-RO"/>
        </w:rPr>
        <w:t xml:space="preserve"> </w:t>
      </w:r>
    </w:p>
    <w:p w14:paraId="6BCC61E8"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defecte externe cauzate de nerespectarea instrucțiunilor corecte de curățare și întreținere la utilizarea produsului ( a se vedea linkul către instrucțiunile de utilizare)</w:t>
      </w:r>
    </w:p>
    <w:p w14:paraId="1AD4E17E"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xml:space="preserve">– </w:t>
      </w:r>
      <w:r>
        <w:rPr>
          <w:rFonts w:asciiTheme="majorHAnsi" w:hAnsiTheme="majorHAnsi" w:cstheme="majorHAnsi"/>
          <w:shd w:val="clear" w:color="auto" w:fill="FFFF00"/>
          <w:lang w:val="ro-RO"/>
        </w:rPr>
        <w:t>decolorarea rezultată din caracteristicile unice ale placărilor naturale în ceea ce privește</w:t>
      </w:r>
      <w:r>
        <w:rPr>
          <w:rFonts w:asciiTheme="majorHAnsi" w:hAnsiTheme="majorHAnsi" w:cstheme="majorHAnsi"/>
          <w:lang w:val="ro-RO"/>
        </w:rPr>
        <w:t xml:space="preserve"> a aceluiași model și nuanță mai mică de 15%.</w:t>
      </w:r>
    </w:p>
    <w:p w14:paraId="73DB5AF0"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elemente vopsite cu grund pe care defectele cauzate de utilizare nu depășesc 0,25% din suprafață</w:t>
      </w:r>
    </w:p>
    <w:p w14:paraId="413CA3EC" w14:textId="77777777" w:rsidR="00DB1E11" w:rsidRDefault="00DB1E11">
      <w:pPr>
        <w:pStyle w:val="Standard"/>
        <w:jc w:val="both"/>
        <w:rPr>
          <w:rFonts w:asciiTheme="majorHAnsi" w:hAnsiTheme="majorHAnsi" w:cstheme="majorHAnsi"/>
          <w:lang w:val="ro-RO"/>
        </w:rPr>
      </w:pPr>
    </w:p>
    <w:p w14:paraId="4E695C97"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Dacă se constată că stratul de vopsea (grund) este defect după ce produsul a fost instalat definitiv (nu poate fi demontat). Clientul nu poate cere producătorului să revopsească produsul.</w:t>
      </w:r>
    </w:p>
    <w:p w14:paraId="3B11EE1D"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Într-o astfel de situație, în cazul unor reclamații justificate, Producătorul va efectua o</w:t>
      </w:r>
    </w:p>
    <w:p w14:paraId="39E89F89"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reparația la sediul clientului cu vopsele de renovare, care pot fi diferite ca nuanță și textură față de acoperirea originală.</w:t>
      </w:r>
    </w:p>
    <w:p w14:paraId="2C3D0BC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În cazul în care repararea produsului necesită lucrul la o înălțime mai mare de 2 m de la nivelul solului</w:t>
      </w:r>
    </w:p>
    <w:p w14:paraId="3CFAD127"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reclamantul trebuie să asigure echipei de service un acces sigur la produs</w:t>
      </w:r>
    </w:p>
    <w:p w14:paraId="7D368D8C"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defectele cauzate de utilizarea necorespunzătoare sau de neglijența cumpărătorului,</w:t>
      </w:r>
    </w:p>
    <w:p w14:paraId="30E11F88"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cauzate de curățarea necorespunzătoare cu agenți de curățare grosieri sau cu substanțe chimice agresive</w:t>
      </w:r>
    </w:p>
    <w:p w14:paraId="47837EF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funcționarea defectuoasă a produsului ca urmare a unor evenimente neprevăzute care nu depind de controlul producătorului: deteriorări</w:t>
      </w:r>
      <w:r>
        <w:rPr>
          <w:rFonts w:asciiTheme="majorHAnsi" w:hAnsiTheme="majorHAnsi" w:cstheme="majorHAnsi"/>
          <w:shd w:val="clear" w:color="auto" w:fill="FFFF00"/>
          <w:lang w:val="ro-RO"/>
        </w:rPr>
        <w:t xml:space="preserve"> a structurii din cauza acumulării de zăpadă.  (Grosimea sigură a stratului de zăpadă este de 15 cm = 40 kg/m2)</w:t>
      </w:r>
      <w:r>
        <w:rPr>
          <w:rFonts w:asciiTheme="majorHAnsi" w:hAnsiTheme="majorHAnsi" w:cstheme="majorHAnsi"/>
          <w:lang w:val="ro-RO"/>
        </w:rPr>
        <w:t>, îngheț, ploi abundente</w:t>
      </w:r>
    </w:p>
    <w:p w14:paraId="1AABC745"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 xml:space="preserve">Marginile ascuțite care nu sunt protejate în fabrică sau în timpul asamblării (capetele firelor, marginile găurilor etc.) la mai puțin de 3 cm de linia de tăiere, fire, margini ale găurilor etc.) în limita a 3 cm de linia de tăiere </w:t>
      </w:r>
    </w:p>
    <w:p w14:paraId="4B08523F"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structuri pe care au fost aplicate sarcini suplimentare specifice, cum ar fi panouri fotovoltaice (instalarea necesită consolidarea structurii de susținere)</w:t>
      </w:r>
    </w:p>
    <w:p w14:paraId="19480CDC"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 xml:space="preserve">- produs care nu a fost vopsit cu </w:t>
      </w:r>
      <w:r>
        <w:rPr>
          <w:rFonts w:asciiTheme="majorHAnsi" w:hAnsiTheme="majorHAnsi" w:cstheme="majorHAnsi"/>
          <w:i/>
          <w:iCs/>
          <w:lang w:val="ro-RO"/>
        </w:rPr>
        <w:t>strat de acoperire</w:t>
      </w:r>
    </w:p>
    <w:p w14:paraId="7C2222D1"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w:t>
      </w:r>
      <w:r>
        <w:rPr>
          <w:lang w:val="ro-RO"/>
        </w:rPr>
        <w:t xml:space="preserve"> </w:t>
      </w:r>
      <w:r>
        <w:rPr>
          <w:rFonts w:asciiTheme="majorHAnsi" w:hAnsiTheme="majorHAnsi" w:cstheme="majorHAnsi"/>
          <w:lang w:val="ro-RO"/>
        </w:rPr>
        <w:t>uzura naturală a produsului</w:t>
      </w:r>
    </w:p>
    <w:p w14:paraId="449EB665" w14:textId="77777777" w:rsidR="00DB1E11" w:rsidRDefault="00DB1E11">
      <w:pPr>
        <w:pStyle w:val="Standard"/>
        <w:jc w:val="both"/>
        <w:rPr>
          <w:rFonts w:asciiTheme="majorHAnsi" w:hAnsiTheme="majorHAnsi" w:cstheme="majorHAnsi"/>
          <w:lang w:val="ro-RO"/>
        </w:rPr>
      </w:pPr>
    </w:p>
    <w:p w14:paraId="17C80DF2"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Producătorul se obligă să efectueze reparația în termen de 30 de zile de la preluarea</w:t>
      </w:r>
    </w:p>
    <w:p w14:paraId="70CBBACD"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reclamație. Termenul de remediere a produsului poate fi prelungit în cazul în care este necesar să se înlocuiască componentelor, pe care producătorul trebuie să le importe de la furnizori, sau din cauza condițiilor meteorologice nefavorabile existente la locul de tratare a reclamației, care fac imposibilă</w:t>
      </w:r>
    </w:p>
    <w:p w14:paraId="52CA4C06"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de a efectua procesul tehnologic necesar pentru reparație, caz în care perioada de reparație</w:t>
      </w:r>
    </w:p>
    <w:p w14:paraId="35D35E44" w14:textId="77777777" w:rsidR="00DB1E11" w:rsidRDefault="00000000">
      <w:pPr>
        <w:pStyle w:val="Standard"/>
        <w:jc w:val="both"/>
        <w:rPr>
          <w:rFonts w:asciiTheme="majorHAnsi" w:hAnsiTheme="majorHAnsi" w:cstheme="majorHAnsi"/>
          <w:lang w:val="ro-RO"/>
        </w:rPr>
      </w:pPr>
      <w:r>
        <w:rPr>
          <w:rFonts w:asciiTheme="majorHAnsi" w:hAnsiTheme="majorHAnsi" w:cstheme="majorHAnsi"/>
          <w:lang w:val="ro-RO"/>
        </w:rPr>
        <w:t>de reparație nu va fi mai mare de 90 de zile de la data depunerii reclamației.</w:t>
      </w:r>
    </w:p>
    <w:p w14:paraId="08D4399D" w14:textId="77777777" w:rsidR="00DB1E11" w:rsidRDefault="00DB1E11">
      <w:pPr>
        <w:pStyle w:val="Standard"/>
        <w:rPr>
          <w:rFonts w:asciiTheme="majorHAnsi" w:hAnsiTheme="majorHAnsi" w:cstheme="majorHAnsi"/>
        </w:rPr>
      </w:pPr>
    </w:p>
    <w:p w14:paraId="50B2E685" w14:textId="77777777" w:rsidR="00DB1E11" w:rsidRDefault="00000000">
      <w:pPr>
        <w:pStyle w:val="Standard"/>
        <w:rPr>
          <w:rFonts w:asciiTheme="majorHAnsi" w:hAnsiTheme="majorHAnsi" w:cstheme="majorHAnsi"/>
        </w:rPr>
      </w:pPr>
      <w:r>
        <w:rPr>
          <w:rFonts w:asciiTheme="majorHAnsi" w:hAnsiTheme="majorHAnsi" w:cstheme="majorHAnsi"/>
        </w:rPr>
        <w:t xml:space="preserve"> </w:t>
      </w:r>
    </w:p>
    <w:p w14:paraId="7A4255C7" w14:textId="77777777" w:rsidR="00DB1E11" w:rsidRDefault="00DB1E11">
      <w:pPr>
        <w:pStyle w:val="Standard"/>
        <w:rPr>
          <w:rFonts w:asciiTheme="majorHAnsi" w:hAnsiTheme="majorHAnsi" w:cstheme="majorHAnsi"/>
        </w:rPr>
      </w:pPr>
    </w:p>
    <w:p w14:paraId="5DE1AED9" w14:textId="77777777" w:rsidR="00DB1E11" w:rsidRDefault="00DB1E11">
      <w:pPr>
        <w:pStyle w:val="Standard"/>
        <w:rPr>
          <w:rFonts w:asciiTheme="majorHAnsi" w:hAnsiTheme="majorHAnsi" w:cstheme="majorHAnsi"/>
        </w:rPr>
      </w:pPr>
    </w:p>
    <w:p w14:paraId="35FDA8E7" w14:textId="77777777" w:rsidR="00DB1E11" w:rsidRDefault="00DB1E11"/>
    <w:sectPr w:rsidR="00DB1E11">
      <w:headerReference w:type="default" r:id="rId6"/>
      <w:footerReference w:type="default" r:id="rId7"/>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E9DC" w14:textId="77777777" w:rsidR="00122B62" w:rsidRDefault="00122B62">
      <w:r>
        <w:separator/>
      </w:r>
    </w:p>
  </w:endnote>
  <w:endnote w:type="continuationSeparator" w:id="0">
    <w:p w14:paraId="5D28AE76" w14:textId="77777777" w:rsidR="00122B62" w:rsidRDefault="0012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97E0" w14:textId="7E957C22" w:rsidR="00DB1E11" w:rsidRDefault="004A5347">
    <w:pPr>
      <w:pStyle w:val="Footer"/>
    </w:pPr>
    <w:r>
      <w:rPr>
        <w:noProof/>
      </w:rPr>
      <w:pict w14:anchorId="6B24D1E7">
        <v:shapetype id="_x0000_t202" coordsize="21600,21600" o:spt="202" path="m,l,21600r21600,l21600,xe">
          <v:stroke joinstyle="miter"/>
          <v:path gradientshapeok="t" o:connecttype="rect"/>
        </v:shapetype>
        <v:shape id="_x0000_s1025" type="#_x0000_t202" style="position:absolute;margin-left:.05pt;margin-top:755.45pt;width:612pt;height:21.5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gfwEAAPwCAAAOAAAAZHJzL2Uyb0RvYy54bWysUstOwzAQvCPxD5bvNGkobYmaVKAKhIQA&#10;qfABrmM3kWKvZbtN+ves3afghris92HPzs56Nu9VS7bCugZ0QYeDlBKhOVSNXhf06/PpZkqJ80xX&#10;rAUtCroTjs7L66tZZ3KRQQ1tJSxBEO3yzhS09t7kSeJ4LRRzAzBCY1GCVcxjaNdJZVmH6KpNsjQd&#10;Jx3YyljgwjnMLvZFWkZ8KQX371I64UlbUOTmo7XRroJNyhnL15aZuuEHGuwPLBRrNDY9QS2YZ2Rj&#10;m19QquEWHEg/4KASkLLhIs6A0wzTH9Msa2ZEnAXFceYkk/s/WP62XZoPS3z/CD0uMAjSGZc7TIZ5&#10;emlVOJEpwTpKuDvJJnpPOCYnk0k2SrHEsZZNbsfTuwCTnF8b6/yzAEWCU1CLa4lqse2r8/urxyv4&#10;7tw/eL5f9QdSK6h2yLV90ajA/XA0ChuNATr2Mrs6ZpnmNeC+9/00PGw8yCb2DOB7xENPlDiyPnyH&#10;sMPLON46f9ryGwAA//8DAFBLAwQUAAYACAAAACEALIerR90AAAALAQAADwAAAGRycy9kb3ducmV2&#10;LnhtbEyPwU7DMBBE70j8g7VI3KidqEWQxqkAiZ7KgcIHbGM3DsTryHabpF+Pc6KXlWZmNfu23Iy2&#10;Y2ftQ+tIQrYQwDTVTrXUSPj+en94AhYiksLOkZYw6QCb6vamxEK5gT71eR8blkooFCjBxNgXnIfa&#10;aIth4XpNKTs6bzEm6RuuPA6p3HY8F+KRW2wpXTDY6zej69/9yUqwl+zid4j2ZzvlOPST2X7sXqW8&#10;vxtf1sCiHuP/Msz4CR2qxHRwJ1KBdbNmMc1VJp6BzXmeL5N3mL3VUgCvSn79Q/UHAAD//wMAUEsB&#10;Ai0AFAAGAAgAAAAhALaDOJL+AAAA4QEAABMAAAAAAAAAAAAAAAAAAAAAAFtDb250ZW50X1R5cGVz&#10;XS54bWxQSwECLQAUAAYACAAAACEAOP0h/9YAAACUAQAACwAAAAAAAAAAAAAAAAAvAQAAX3JlbHMv&#10;LnJlbHNQSwECLQAUAAYACAAAACEA/yELYH8BAAD8AgAADgAAAAAAAAAAAAAAAAAuAgAAZHJzL2Uy&#10;b0RvYy54bWxQSwECLQAUAAYACAAAACEALIerR90AAAALAQAADwAAAAAAAAAAAAAAAADZAwAAZHJz&#10;L2Rvd25yZXYueG1sUEsFBgAAAAAEAAQA8wAAAOMEAAAAAA==&#10;" filled="f" stroked="f">
          <v:textbox inset=",0,,0">
            <w:txbxContent>
              <w:p w14:paraId="078B602F" w14:textId="77777777" w:rsidR="00DB1E11" w:rsidRDefault="00000000">
                <w:pPr>
                  <w:pStyle w:val="Zawartoramki"/>
                  <w:jc w:val="center"/>
                  <w:rPr>
                    <w:rFonts w:ascii="Calibri" w:hAnsi="Calibri" w:cs="Calibri"/>
                    <w:color w:val="000000"/>
                    <w:sz w:val="16"/>
                  </w:rPr>
                </w:pPr>
                <w:r>
                  <w:rPr>
                    <w:rFonts w:cs="Calibri"/>
                    <w:color w:val="000000"/>
                    <w:sz w:val="16"/>
                  </w:rPr>
                  <w:t>INTERNAL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1265" w14:textId="77777777" w:rsidR="00122B62" w:rsidRDefault="00122B62">
      <w:r>
        <w:separator/>
      </w:r>
    </w:p>
  </w:footnote>
  <w:footnote w:type="continuationSeparator" w:id="0">
    <w:p w14:paraId="60077E73" w14:textId="77777777" w:rsidR="00122B62" w:rsidRDefault="0012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B506" w14:textId="77777777" w:rsidR="00DB1E11" w:rsidRDefault="00DB1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MrUwNzE0sjQ3NjVS0lEKTi0uzszPAykwrAUANGNRCSwAAAA="/>
  </w:docVars>
  <w:rsids>
    <w:rsidRoot w:val="00DB1E11"/>
    <w:rsid w:val="00122B62"/>
    <w:rsid w:val="004A5347"/>
    <w:rsid w:val="00DB1E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F5D4"/>
  <w15:docId w15:val="{1258946A-8C58-4047-B110-17C0BB3F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D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97D10"/>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qFormat/>
    <w:rsid w:val="00142E25"/>
  </w:style>
  <w:style w:type="character" w:customStyle="1" w:styleId="czeinternetowe">
    <w:name w:val="Łącze internetowe"/>
    <w:basedOn w:val="DefaultParagraphFont"/>
    <w:uiPriority w:val="99"/>
    <w:semiHidden/>
    <w:unhideWhenUsed/>
    <w:rsid w:val="00142E25"/>
    <w:rPr>
      <w:color w:val="0000FF"/>
      <w:u w:val="single"/>
    </w:rPr>
  </w:style>
  <w:style w:type="character" w:styleId="FollowedHyperlink">
    <w:name w:val="FollowedHyperlink"/>
    <w:basedOn w:val="DefaultParagraphFont"/>
    <w:uiPriority w:val="99"/>
    <w:semiHidden/>
    <w:unhideWhenUsed/>
    <w:qFormat/>
    <w:rsid w:val="00142E25"/>
    <w:rPr>
      <w:color w:val="954F72" w:themeColor="followedHyperlink"/>
      <w:u w:val="single"/>
    </w:rPr>
  </w:style>
  <w:style w:type="character" w:customStyle="1" w:styleId="ListLabel1">
    <w:name w:val="ListLabel 1"/>
    <w:qFormat/>
    <w:rPr>
      <w:rFonts w:asciiTheme="majorHAnsi" w:hAnsiTheme="majorHAnsi" w:cstheme="majorHAnsi"/>
      <w:lang w:val="pl-PL"/>
    </w:rPr>
  </w:style>
  <w:style w:type="character" w:customStyle="1" w:styleId="HeaderChar">
    <w:name w:val="Header Char"/>
    <w:basedOn w:val="DefaultParagraphFont"/>
    <w:link w:val="Header"/>
    <w:uiPriority w:val="99"/>
    <w:qFormat/>
    <w:rsid w:val="00917342"/>
  </w:style>
  <w:style w:type="character" w:customStyle="1" w:styleId="FooterChar">
    <w:name w:val="Footer Char"/>
    <w:basedOn w:val="DefaultParagraphFont"/>
    <w:link w:val="Footer"/>
    <w:uiPriority w:val="99"/>
    <w:qFormat/>
    <w:rsid w:val="00917342"/>
  </w:style>
  <w:style w:type="paragraph" w:customStyle="1" w:styleId="Nagwek">
    <w:name w:val="Nagłówe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Standard">
    <w:name w:val="Standard"/>
    <w:qFormat/>
    <w:rsid w:val="002F753E"/>
    <w:pPr>
      <w:suppressAutoHyphens/>
      <w:textAlignment w:val="baseline"/>
    </w:pPr>
    <w:rPr>
      <w:rFonts w:ascii="Liberation Serif" w:eastAsia="SimSun" w:hAnsi="Liberation Serif" w:cs="Mangal"/>
      <w:kern w:val="2"/>
      <w:lang w:val="en-US" w:eastAsia="zh-CN" w:bidi="hi-IN"/>
    </w:rPr>
  </w:style>
  <w:style w:type="paragraph" w:styleId="Header">
    <w:name w:val="header"/>
    <w:basedOn w:val="Normal"/>
    <w:link w:val="HeaderChar"/>
    <w:uiPriority w:val="99"/>
    <w:unhideWhenUsed/>
    <w:rsid w:val="00917342"/>
    <w:pPr>
      <w:tabs>
        <w:tab w:val="center" w:pos="4536"/>
        <w:tab w:val="right" w:pos="9072"/>
      </w:tabs>
    </w:pPr>
  </w:style>
  <w:style w:type="paragraph" w:styleId="Footer">
    <w:name w:val="footer"/>
    <w:basedOn w:val="Normal"/>
    <w:link w:val="FooterChar"/>
    <w:uiPriority w:val="99"/>
    <w:unhideWhenUsed/>
    <w:rsid w:val="00917342"/>
    <w:pPr>
      <w:tabs>
        <w:tab w:val="center" w:pos="4536"/>
        <w:tab w:val="right" w:pos="9072"/>
      </w:tabs>
    </w:pPr>
  </w:style>
  <w:style w:type="paragraph" w:customStyle="1" w:styleId="Zawartoramki">
    <w:name w:val="Zawartość ramk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2927</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blachtrans@wp.pl</dc:creator>
  <dc:description/>
  <cp:lastModifiedBy>TUYA SEO</cp:lastModifiedBy>
  <cp:revision>4</cp:revision>
  <dcterms:created xsi:type="dcterms:W3CDTF">2023-01-30T11:02:00Z</dcterms:created>
  <dcterms:modified xsi:type="dcterms:W3CDTF">2023-02-23T11:39:00Z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f33c2d95-ffb8-4f09-8d49-eacb0a6220f7_ActionId">
    <vt:lpwstr>2e6ff952-edd7-49fc-b9ef-9db99fc883d9</vt:lpwstr>
  </property>
  <property fmtid="{D5CDD505-2E9C-101B-9397-08002B2CF9AE}" pid="7" name="MSIP_Label_f33c2d95-ffb8-4f09-8d49-eacb0a6220f7_ContentBits">
    <vt:lpwstr>2</vt:lpwstr>
  </property>
  <property fmtid="{D5CDD505-2E9C-101B-9397-08002B2CF9AE}" pid="8" name="MSIP_Label_f33c2d95-ffb8-4f09-8d49-eacb0a6220f7_Enabled">
    <vt:lpwstr>true</vt:lpwstr>
  </property>
  <property fmtid="{D5CDD505-2E9C-101B-9397-08002B2CF9AE}" pid="9" name="MSIP_Label_f33c2d95-ffb8-4f09-8d49-eacb0a6220f7_Method">
    <vt:lpwstr>Privileged</vt:lpwstr>
  </property>
  <property fmtid="{D5CDD505-2E9C-101B-9397-08002B2CF9AE}" pid="10" name="MSIP_Label_f33c2d95-ffb8-4f09-8d49-eacb0a6220f7_Name">
    <vt:lpwstr>Internal</vt:lpwstr>
  </property>
  <property fmtid="{D5CDD505-2E9C-101B-9397-08002B2CF9AE}" pid="11" name="MSIP_Label_f33c2d95-ffb8-4f09-8d49-eacb0a6220f7_SetDate">
    <vt:lpwstr>2023-02-23T08:08:24Z</vt:lpwstr>
  </property>
  <property fmtid="{D5CDD505-2E9C-101B-9397-08002B2CF9AE}" pid="12" name="MSIP_Label_f33c2d95-ffb8-4f09-8d49-eacb0a6220f7_SiteId">
    <vt:lpwstr>67416604-6509-4014-9859-45e709f53d3f</vt:lpwstr>
  </property>
  <property fmtid="{D5CDD505-2E9C-101B-9397-08002B2CF9AE}" pid="13" name="ScaleCrop">
    <vt:bool>false</vt:bool>
  </property>
  <property fmtid="{D5CDD505-2E9C-101B-9397-08002B2CF9AE}" pid="14" name="ShareDoc">
    <vt:bool>false</vt:bool>
  </property>
</Properties>
</file>